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bookmarkStart w:id="0" w:name="_GoBack"/>
      <w:bookmarkEnd w:id="0"/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Договор № </w:t>
      </w: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предоставлении услуг по ремонту и техническому обслуживанию</w:t>
      </w: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электро- и бензоинструмента</w:t>
      </w:r>
    </w:p>
    <w:p w:rsidR="00CA15D3" w:rsidRPr="009F4426" w:rsidRDefault="00CA15D3" w:rsidP="0085245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г. Нижний Новгород «»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г.</w:t>
      </w:r>
    </w:p>
    <w:p w:rsidR="00CA15D3" w:rsidRPr="009F4426" w:rsidRDefault="00CA15D3" w:rsidP="0085245E">
      <w:pPr>
        <w:shd w:val="clear" w:color="auto" w:fill="FFFFFF"/>
        <w:spacing w:after="0" w:line="240" w:lineRule="auto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Генеральный директор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____________________________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именуемый в дальнейшем «Заказчик», с одной стороны, и Козлов Юрий Вячеславович, директор ООО «Главстройпрокат», действующий на основании Устава</w:t>
      </w: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именуемый в дальнейшем «Сервис-центр», с другой стороны, заключили настоящий договор о нижеследующем: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 ДОГОВОРА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Заказчик поручает, а Сервис-центр производит ремонт и техническое обслуживание (ТО) электро- и бензоинструмента Заказчика.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ОБЯЗАТЕЛЬСТВА СТОРОН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Сервис-центр обязуется обеспечить выполнение следующих работ: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Проведение диагностики, ремонт и ТО электро- бензоиструмента в согласованные с Заказчиком сроки.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Заказчик обязуется: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Передать электро- и бензоинстумент Сервис-центру;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Подтвердить свое согласие (отказ) на проведение ремонта после диагностики электро- и бензоинструмента.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Сроки и стоимость ремонта согласовываются после диагностики.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Оплатить стоимость ремонта или ТО, предоставленного в Сервис-центр электро- и бензоинструмента.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left="72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 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Принять результат произведенных работ не позднее 14 дней с даты извещения Сервис-центром об окончании работ. При получении инструмента из ремонта Заказчик обязан подписать Акт выполненных работ, заполненный в двух экземплярах, что будет являться подтверждением передачи/приемки техники, надлежащего проведения работ Сервис-центром и отсутствия претензий со стороны Заказчика к качеству работ, а также к качеству, функционированию и комплектности электро- и бензоинтумента.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проведении ремонта электро- и бензоинструмента Сервис-центр руководствуется Законом Российской Федерации о защите прав потребителя и другими нормативными документами, касающимися функционирования центров бытового обслуживания населения.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Возврат инструмента Заказчику после работ, производится только на основании оригинала Акта передачи оборудования, выданного при приеме электро- и бензоинструмента в Сервис-центр.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РАСЧЕТЫ МЕЖДУ СТОРОНАМИ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Основанием для оплаты Заказчиком работ выполненных Сервисным центром, является выставленный счёт о проведении работ, далее </w:t>
      </w: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счёт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выполненный по установленной форме.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Получение счета Заказчиком также является оповещением его о готовности электро- и бензоинструмента.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Срок оплаты счета –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дней с момента его выставления.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ОТВЕТСТВЕННОСТЬ СТОРОН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в Российской Федерации законодательством.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 несет полную ответственность за своевременность и качество выполнения диагностики, ремонта или ТО (при наличии запчастей на складе Сервис- центра). В случае отсутствия запчастей на складе Сервис-центра, Сервис-центр дополнительно информирует Заказчика о сроках выполнения ремонта.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Гарантия на ремонт - составляет один месяц со дня выдачи Сервис-центром электро- и бензоинструмента.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Техническое обслуживание гарантия не распространяется.</w:t>
      </w:r>
    </w:p>
    <w:p w:rsidR="00CA15D3" w:rsidRPr="009F4426" w:rsidRDefault="00CA15D3" w:rsidP="00BB4CB2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техника не востребована Заказчиком в течении 100 дней после извещения о готовности, техника переходит в собственность Сервис-центра.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РАЗРЕШЕНИЕ СПОРОВ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Все споры и разногласия, которые могут возникнуть в ходе исполнения настоящего Договора или в связи с ним, будут решаться путем переговоров между Сторонами;</w:t>
      </w:r>
    </w:p>
    <w:p w:rsidR="00CA15D3" w:rsidRPr="009F4426" w:rsidRDefault="00CA15D3" w:rsidP="00BB4CB2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споры и разногласия не могут быть урегулированы путем переговоров, они подлежат разрешению в соответствии с действующим законодательством Российской Федерации.</w:t>
      </w: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СРОК ДЕЙСТВИЯ ДОГОВОРА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Договор вступает в силу с момента его подписания обе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ими Сторонами, и действует до «31»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декабря 20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г.</w:t>
      </w:r>
    </w:p>
    <w:p w:rsidR="00CA15D3" w:rsidRPr="009F4426" w:rsidRDefault="00CA15D3" w:rsidP="00BB4CB2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Договор автоматически продлевается еще на один год, если за 30 (тридцать) дней до окончания срока действия Договора, ни одна из Сторон Договора не заявила о его прекращении.</w:t>
      </w: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ИЗМЕНЕНИЯ И ДОСРОЧНОГО РАСТОРЖЕНИЯ ДОГОВОРА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Сторонами;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Каждая из Сторон Договора имеет право на досрочное прекращение действия Договора;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Сторона, решившая расторгнуть настоящий Договор, должна направить письменное уведомление о намерении расторгнуть Договор Стороне- контрагенту не позднее, чем за 30 (тридцать) дней до предлагаемой даты расторжения Договора;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досрочном прекращении действия настоящего Договора финансовые взаиморасчеты между Сторонами Договора должны быть закончены в течение 30 (тридцати) дней с момента получения письменного уведомления о намерении одной из Сторон расторгнуть Договор.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2D2522"/>
          <w:sz w:val="27"/>
          <w:szCs w:val="27"/>
          <w:lang w:eastAsia="ru-RU"/>
        </w:rPr>
      </w:pPr>
    </w:p>
    <w:p w:rsidR="00CA15D3" w:rsidRPr="009F4426" w:rsidRDefault="00CA15D3" w:rsidP="0085245E">
      <w:pPr>
        <w:shd w:val="clear" w:color="auto" w:fill="FFFFFF"/>
        <w:spacing w:after="0" w:line="240" w:lineRule="auto"/>
        <w:jc w:val="center"/>
        <w:rPr>
          <w:rFonts w:ascii="Georgia" w:hAnsi="Georgia"/>
          <w:color w:val="2D2522"/>
          <w:sz w:val="27"/>
          <w:szCs w:val="27"/>
          <w:lang w:eastAsia="ru-RU"/>
        </w:rPr>
      </w:pPr>
      <w:r w:rsidRPr="009F442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ПРОЧИЕ УСЛОВИЯ</w:t>
      </w:r>
    </w:p>
    <w:p w:rsidR="00CA15D3" w:rsidRPr="009F4426" w:rsidRDefault="00CA15D3" w:rsidP="0085245E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A15D3" w:rsidRDefault="00CA15D3" w:rsidP="000F2927">
      <w:pPr>
        <w:shd w:val="clear" w:color="auto" w:fill="FFFFFF"/>
        <w:spacing w:after="0" w:line="240" w:lineRule="auto"/>
        <w:ind w:firstLine="708"/>
        <w:rPr>
          <w:rFonts w:ascii="Tahoma" w:hAnsi="Tahoma" w:cs="Tahoma"/>
          <w:b/>
          <w:color w:val="000000"/>
          <w:sz w:val="24"/>
          <w:szCs w:val="21"/>
          <w:bdr w:val="none" w:sz="0" w:space="0" w:color="auto" w:frame="1"/>
          <w:lang w:eastAsia="ru-RU"/>
        </w:rPr>
      </w:pPr>
      <w:r w:rsidRPr="009F4426">
        <w:rPr>
          <w:rFonts w:ascii="Tahoma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</w:t>
      </w:r>
      <w:r w:rsidRPr="009F4426">
        <w:rPr>
          <w:rFonts w:ascii="Tahoma" w:hAnsi="Tahoma" w:cs="Tahoma"/>
          <w:b/>
          <w:color w:val="000000"/>
          <w:sz w:val="24"/>
          <w:szCs w:val="21"/>
          <w:bdr w:val="none" w:sz="0" w:space="0" w:color="auto" w:frame="1"/>
          <w:lang w:eastAsia="ru-RU"/>
        </w:rPr>
        <w:t>Предмет договора</w:t>
      </w:r>
    </w:p>
    <w:p w:rsidR="00CA15D3" w:rsidRDefault="00CA15D3" w:rsidP="000F2927">
      <w:pPr>
        <w:shd w:val="clear" w:color="auto" w:fill="FFFFFF"/>
        <w:spacing w:after="0" w:line="240" w:lineRule="auto"/>
        <w:ind w:firstLine="708"/>
        <w:rPr>
          <w:rFonts w:ascii="Tahoma" w:hAnsi="Tahoma" w:cs="Tahoma"/>
          <w:b/>
          <w:color w:val="000000"/>
          <w:sz w:val="24"/>
          <w:szCs w:val="21"/>
          <w:bdr w:val="none" w:sz="0" w:space="0" w:color="auto" w:frame="1"/>
          <w:lang w:eastAsia="ru-RU"/>
        </w:rPr>
      </w:pP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1551"/>
        <w:gridCol w:w="196"/>
        <w:gridCol w:w="1061"/>
        <w:gridCol w:w="2799"/>
        <w:gridCol w:w="65"/>
      </w:tblGrid>
      <w:tr w:rsidR="00CA15D3" w:rsidRPr="006C1435" w:rsidTr="00BB4923">
        <w:trPr>
          <w:gridAfter w:val="1"/>
          <w:wAfter w:w="65" w:type="dxa"/>
          <w:trHeight w:val="212"/>
        </w:trPr>
        <w:tc>
          <w:tcPr>
            <w:tcW w:w="2826" w:type="dxa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808" w:type="dxa"/>
            <w:gridSpan w:val="3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799" w:type="dxa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CA15D3" w:rsidRPr="006C1435" w:rsidTr="00BB4923">
        <w:trPr>
          <w:gridAfter w:val="1"/>
          <w:wAfter w:w="65" w:type="dxa"/>
          <w:trHeight w:val="212"/>
        </w:trPr>
        <w:tc>
          <w:tcPr>
            <w:tcW w:w="2826" w:type="dxa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808" w:type="dxa"/>
            <w:gridSpan w:val="3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799" w:type="dxa"/>
          </w:tcPr>
          <w:p w:rsidR="00CA15D3" w:rsidRPr="006C1435" w:rsidRDefault="00CA15D3" w:rsidP="006C143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CA15D3" w:rsidRPr="006C1435" w:rsidTr="00BB492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56"/>
          <w:tblCellSpacing w:w="15" w:type="dxa"/>
        </w:trPr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D3" w:rsidRPr="009F4426" w:rsidRDefault="00CA15D3" w:rsidP="009F4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РЕКВИЗИТЫ СТОРОН</w:t>
            </w:r>
          </w:p>
          <w:p w:rsidR="00CA15D3" w:rsidRPr="009F4426" w:rsidRDefault="00CA15D3" w:rsidP="009F4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u w:val="single"/>
                <w:lang w:eastAsia="ru-RU"/>
              </w:rPr>
            </w:pPr>
            <w:r w:rsidRPr="009F4426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Сервис-центр:</w:t>
            </w:r>
          </w:p>
          <w:p w:rsidR="00CA15D3" w:rsidRPr="009F4426" w:rsidRDefault="00CA15D3" w:rsidP="009F4426">
            <w:pPr>
              <w:spacing w:after="150" w:line="240" w:lineRule="auto"/>
              <w:rPr>
                <w:rFonts w:ascii="Times New Roman" w:hAnsi="Times New Roman"/>
                <w:b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b/>
                <w:color w:val="2D2522"/>
                <w:sz w:val="24"/>
                <w:szCs w:val="24"/>
                <w:lang w:eastAsia="ru-RU"/>
              </w:rPr>
              <w:t>ООО «Главстройпрокат»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Юр. адрес: 603137, Нижний Новгород, проспект Гагарина, дом № 121Б, помещение П-24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ИНН: 5260410625  КПП: 526101001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ОГРН: 1155260007418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К/с 30101810300000000881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Р/с 40702810602060001257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Ф-Л ПРИВОЛЖСКИЙ ПАО БАНК "ФК ОТКРЫТИЕ" г Нижний Новгород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val="en-US"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БИК</w:t>
            </w: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val="en-US" w:eastAsia="ru-RU"/>
              </w:rPr>
              <w:t>: 042282881</w:t>
            </w:r>
          </w:p>
          <w:p w:rsidR="005715C8" w:rsidRPr="005715C8" w:rsidRDefault="005715C8" w:rsidP="005715C8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val="en-US"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val="en-US" w:eastAsia="ru-RU"/>
              </w:rPr>
              <w:t>E-mail: prokatnn52@mail.ru</w:t>
            </w:r>
          </w:p>
          <w:p w:rsidR="00CA15D3" w:rsidRDefault="005715C8" w:rsidP="005715C8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5715C8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Тел. 8 (831) 414-20-62, 8-906-349-09-44</w:t>
            </w:r>
          </w:p>
          <w:p w:rsidR="005715C8" w:rsidRDefault="005715C8" w:rsidP="005715C8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5715C8" w:rsidRDefault="005715C8" w:rsidP="005715C8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Директор:____________________/</w:t>
            </w:r>
          </w:p>
          <w:p w:rsidR="005715C8" w:rsidRDefault="005715C8" w:rsidP="005715C8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5715C8" w:rsidRPr="009F4426" w:rsidRDefault="005715C8" w:rsidP="005715C8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5D3" w:rsidRPr="009F4426" w:rsidRDefault="00CA15D3" w:rsidP="009F4426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:rsidR="00CA15D3" w:rsidRPr="009F4426" w:rsidRDefault="00CA15D3" w:rsidP="009F4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РЕКВИЗИТЫ СТОРОН</w:t>
            </w:r>
          </w:p>
          <w:p w:rsidR="00CA15D3" w:rsidRPr="006C1435" w:rsidRDefault="00CA15D3" w:rsidP="009F442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CA15D3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Pr="006C1435" w:rsidRDefault="00CA15D3" w:rsidP="009F442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Юридический адрес:</w:t>
            </w:r>
            <w:r w:rsidRPr="006C143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 xml:space="preserve">ИНН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 xml:space="preserve">ОГРН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 xml:space="preserve">Расчетный счет: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Банк:</w:t>
            </w:r>
            <w:r w:rsidRPr="006C143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БИК:</w:t>
            </w:r>
            <w:r w:rsidRPr="006C143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 xml:space="preserve">Корр. счет: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</w:p>
          <w:p w:rsidR="00CA15D3" w:rsidRPr="009F4426" w:rsidRDefault="00CA15D3" w:rsidP="009F4426">
            <w:pPr>
              <w:spacing w:after="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CA15D3" w:rsidRPr="009F4426" w:rsidRDefault="00CA15D3" w:rsidP="009F4426">
            <w:pPr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Default="00CA15D3" w:rsidP="009F4426">
            <w:pPr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Default="00CA15D3" w:rsidP="009F4426">
            <w:pPr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Default="00CA15D3" w:rsidP="009F4426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Д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иректор:_________ /</w:t>
            </w:r>
            <w:r w:rsidRPr="006C143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715C8" w:rsidRPr="009F4426" w:rsidRDefault="005715C8" w:rsidP="009F4426">
            <w:pPr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</w:p>
          <w:p w:rsidR="00CA15D3" w:rsidRPr="009F4426" w:rsidRDefault="00CA15D3" w:rsidP="009F4426">
            <w:pPr>
              <w:tabs>
                <w:tab w:val="left" w:pos="1755"/>
              </w:tabs>
              <w:spacing w:after="150" w:line="240" w:lineRule="auto"/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</w:pP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>М.П.</w:t>
            </w:r>
            <w:r w:rsidRPr="009F4426">
              <w:rPr>
                <w:rFonts w:ascii="Times New Roman" w:hAnsi="Times New Roman"/>
                <w:color w:val="2D2522"/>
                <w:sz w:val="24"/>
                <w:szCs w:val="24"/>
                <w:lang w:eastAsia="ru-RU"/>
              </w:rPr>
              <w:tab/>
            </w:r>
          </w:p>
        </w:tc>
        <w:tc>
          <w:tcPr>
            <w:tcW w:w="65" w:type="dxa"/>
            <w:tcBorders>
              <w:bottom w:val="single" w:sz="4" w:space="0" w:color="auto"/>
            </w:tcBorders>
          </w:tcPr>
          <w:p w:rsidR="00CA15D3" w:rsidRPr="006A13BC" w:rsidRDefault="00CA15D3" w:rsidP="00461BA8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CA15D3" w:rsidRDefault="00CA15D3"/>
    <w:sectPr w:rsidR="00CA15D3" w:rsidSect="00BB492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C8" w:rsidRDefault="009F12C8" w:rsidP="009F4426">
      <w:pPr>
        <w:spacing w:after="0" w:line="240" w:lineRule="auto"/>
      </w:pPr>
      <w:r>
        <w:separator/>
      </w:r>
    </w:p>
  </w:endnote>
  <w:endnote w:type="continuationSeparator" w:id="0">
    <w:p w:rsidR="009F12C8" w:rsidRDefault="009F12C8" w:rsidP="009F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C8" w:rsidRDefault="009F12C8" w:rsidP="009F4426">
      <w:pPr>
        <w:spacing w:after="0" w:line="240" w:lineRule="auto"/>
      </w:pPr>
      <w:r>
        <w:separator/>
      </w:r>
    </w:p>
  </w:footnote>
  <w:footnote w:type="continuationSeparator" w:id="0">
    <w:p w:rsidR="009F12C8" w:rsidRDefault="009F12C8" w:rsidP="009F4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5E"/>
    <w:rsid w:val="0004373D"/>
    <w:rsid w:val="000F2927"/>
    <w:rsid w:val="001C79D6"/>
    <w:rsid w:val="00253965"/>
    <w:rsid w:val="00275B95"/>
    <w:rsid w:val="00406C07"/>
    <w:rsid w:val="004131B6"/>
    <w:rsid w:val="004346EF"/>
    <w:rsid w:val="00461BA8"/>
    <w:rsid w:val="005715C8"/>
    <w:rsid w:val="00622884"/>
    <w:rsid w:val="006A13BC"/>
    <w:rsid w:val="006C1435"/>
    <w:rsid w:val="0071571F"/>
    <w:rsid w:val="0074554C"/>
    <w:rsid w:val="007F7BD9"/>
    <w:rsid w:val="00802307"/>
    <w:rsid w:val="00810962"/>
    <w:rsid w:val="0085245E"/>
    <w:rsid w:val="009F12C8"/>
    <w:rsid w:val="009F4426"/>
    <w:rsid w:val="00A40D1D"/>
    <w:rsid w:val="00BB4923"/>
    <w:rsid w:val="00BB4CB2"/>
    <w:rsid w:val="00C57600"/>
    <w:rsid w:val="00CA15D3"/>
    <w:rsid w:val="00DB3398"/>
    <w:rsid w:val="00E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07BFD-5A38-4E5B-8DF0-F280C3D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554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4554C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E2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F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F442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F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F4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2020-03-23T05:43:00Z</dcterms:created>
  <dcterms:modified xsi:type="dcterms:W3CDTF">2020-10-27T16:03:00Z</dcterms:modified>
</cp:coreProperties>
</file>